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Meditation consists of two broad types:</w:t>
      </w: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Gentle concentration </w:t>
      </w: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 training the mind to stay where you put it and not keep wandering off or losing focus!</w:t>
      </w: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Insight </w:t>
      </w: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 typically a wider, more investigative approach to seeing more clearly how things really are, offering deeper wisdom and understanding.</w:t>
      </w:r>
    </w:p>
    <w:p>
      <w:pPr>
        <w:spacing w:before="0" w:after="160" w:line="259"/>
        <w:ind w:right="0" w:left="0" w:firstLine="0"/>
        <w:jc w:val="left"/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</w:pPr>
      <w:r>
        <w:rPr>
          <w:rFonts w:ascii="Georgia Pro Light" w:hAnsi="Georgia Pro Light" w:cs="Georgia Pro Light" w:eastAsia="Georgia Pro Light"/>
          <w:color w:val="auto"/>
          <w:spacing w:val="0"/>
          <w:position w:val="0"/>
          <w:sz w:val="32"/>
          <w:shd w:fill="auto" w:val="clear"/>
        </w:rPr>
        <w:t xml:space="preserve">You will learn in more detail about each of these as part of the 8-week course.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